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43" w:rsidRPr="00673C43" w:rsidRDefault="00673C43" w:rsidP="00673C43">
      <w:pPr>
        <w:pStyle w:val="NormalWeb"/>
        <w:shd w:val="clear" w:color="auto" w:fill="FFFFFF"/>
        <w:jc w:val="center"/>
        <w:rPr>
          <w:b/>
          <w:sz w:val="36"/>
          <w:szCs w:val="36"/>
          <w:lang w:val="es-ES"/>
        </w:rPr>
      </w:pPr>
      <w:bookmarkStart w:id="0" w:name="_GoBack"/>
      <w:r w:rsidRPr="00673C43">
        <w:rPr>
          <w:rFonts w:ascii="Arial" w:hAnsi="Arial" w:cs="Arial"/>
          <w:b/>
          <w:bCs/>
          <w:sz w:val="36"/>
          <w:szCs w:val="36"/>
          <w:lang w:val="es-ES"/>
        </w:rPr>
        <w:t>Las cri</w:t>
      </w:r>
      <w:r w:rsidRPr="00673C43">
        <w:rPr>
          <w:rFonts w:ascii="Arial" w:hAnsi="Arial" w:cs="Arial"/>
          <w:b/>
          <w:bCs/>
          <w:sz w:val="36"/>
          <w:szCs w:val="36"/>
          <w:lang w:val="es-ES"/>
        </w:rPr>
        <w:t>sis anteriores a la Guerra (1905-1914)</w:t>
      </w:r>
    </w:p>
    <w:bookmarkEnd w:id="0"/>
    <w:p w:rsidR="00673C43" w:rsidRPr="00673C43" w:rsidRDefault="00673C43" w:rsidP="00673C43">
      <w:pPr>
        <w:pStyle w:val="NormalWeb"/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>Durante la década anterior a la guerra se sucedieron</w:t>
      </w:r>
      <w:r w:rsidRPr="00673C43">
        <w:rPr>
          <w:rStyle w:val="apple-converted-space"/>
          <w:rFonts w:ascii="Arial" w:hAnsi="Arial" w:cs="Arial"/>
          <w:lang w:val="es-ES"/>
        </w:rPr>
        <w:t> </w:t>
      </w:r>
      <w:hyperlink r:id="rId5" w:tgtFrame="_blank" w:history="1">
        <w:r w:rsidRPr="00673C43">
          <w:rPr>
            <w:rStyle w:val="Hipervnculo"/>
            <w:rFonts w:ascii="Arial" w:hAnsi="Arial" w:cs="Arial"/>
            <w:bCs/>
            <w:color w:val="auto"/>
            <w:u w:val="none"/>
            <w:lang w:val="es-ES"/>
          </w:rPr>
          <w:t>cuatro crisis internacionales</w:t>
        </w:r>
      </w:hyperlink>
      <w:r w:rsidRPr="00673C43">
        <w:rPr>
          <w:rStyle w:val="apple-converted-space"/>
          <w:rFonts w:ascii="Arial" w:hAnsi="Arial" w:cs="Arial"/>
          <w:lang w:val="es-ES"/>
        </w:rPr>
        <w:t> </w:t>
      </w:r>
      <w:r w:rsidRPr="00673C43">
        <w:rPr>
          <w:rFonts w:ascii="Arial" w:hAnsi="Arial" w:cs="Arial"/>
          <w:lang w:val="es-ES"/>
        </w:rPr>
        <w:t>que marcaron la evolución hacia el conflicto generalizado.</w:t>
      </w:r>
    </w:p>
    <w:p w:rsidR="00673C43" w:rsidRPr="00673C43" w:rsidRDefault="00673C43" w:rsidP="00673C43">
      <w:pPr>
        <w:pStyle w:val="NormalWeb"/>
        <w:shd w:val="clear" w:color="auto" w:fill="FFFFFF"/>
        <w:rPr>
          <w:lang w:val="es-ES"/>
        </w:rPr>
      </w:pPr>
      <w:r w:rsidRPr="00673C43">
        <w:rPr>
          <w:noProof/>
        </w:rPr>
        <w:drawing>
          <wp:anchor distT="28575" distB="28575" distL="28575" distR="28575" simplePos="0" relativeHeight="251658240" behindDoc="0" locked="0" layoutInCell="1" allowOverlap="0" wp14:anchorId="696B0ACB" wp14:editId="4A89EF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14675" cy="2047875"/>
            <wp:effectExtent l="0" t="0" r="9525" b="9525"/>
            <wp:wrapSquare wrapText="bothSides"/>
            <wp:docPr id="2" name="Imagen 2" descr="http://www.historiasiglo20.org/HM/images/1-1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oriasiglo20.org/HM/images/1-1c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C43">
        <w:rPr>
          <w:rFonts w:ascii="Arial" w:hAnsi="Arial" w:cs="Arial"/>
          <w:lang w:val="es-ES"/>
        </w:rPr>
        <w:t xml:space="preserve">Dos tuvieron como escenario Marruecos en 1905-1906 y en 1911. Alemania desafió la hegemonía francesa en el territorio, pero fracasó en su intento. El desafío germano confirmó la solidez de </w:t>
      </w:r>
      <w:proofErr w:type="spellStart"/>
      <w:r w:rsidRPr="00673C43">
        <w:rPr>
          <w:rFonts w:ascii="Arial" w:hAnsi="Arial" w:cs="Arial"/>
          <w:lang w:val="es-ES"/>
        </w:rPr>
        <w:t>la</w:t>
      </w:r>
      <w:hyperlink r:id="rId7" w:tgtFrame="_blank" w:history="1">
        <w:r w:rsidRPr="00673C43">
          <w:rPr>
            <w:rStyle w:val="Hipervnculo"/>
            <w:rFonts w:ascii="Arial" w:hAnsi="Arial" w:cs="Arial"/>
            <w:bCs/>
            <w:color w:val="auto"/>
            <w:u w:val="none"/>
            <w:lang w:val="es-ES"/>
          </w:rPr>
          <w:t>Entente</w:t>
        </w:r>
        <w:proofErr w:type="spellEnd"/>
        <w:r w:rsidRPr="00673C43">
          <w:rPr>
            <w:rStyle w:val="Hipervnculo"/>
            <w:rFonts w:ascii="Arial" w:hAnsi="Arial" w:cs="Arial"/>
            <w:bCs/>
            <w:color w:val="auto"/>
            <w:u w:val="none"/>
            <w:lang w:val="es-ES"/>
          </w:rPr>
          <w:t xml:space="preserve"> </w:t>
        </w:r>
        <w:proofErr w:type="spellStart"/>
        <w:r w:rsidRPr="00673C43">
          <w:rPr>
            <w:rStyle w:val="Hipervnculo"/>
            <w:rFonts w:ascii="Arial" w:hAnsi="Arial" w:cs="Arial"/>
            <w:bCs/>
            <w:color w:val="auto"/>
            <w:u w:val="none"/>
            <w:lang w:val="es-ES"/>
          </w:rPr>
          <w:t>Cordiale</w:t>
        </w:r>
        <w:proofErr w:type="spellEnd"/>
      </w:hyperlink>
      <w:r w:rsidRPr="00673C43">
        <w:rPr>
          <w:rStyle w:val="apple-converted-space"/>
          <w:rFonts w:ascii="Arial" w:hAnsi="Arial" w:cs="Arial"/>
          <w:lang w:val="es-ES"/>
        </w:rPr>
        <w:t> </w:t>
      </w:r>
      <w:r w:rsidRPr="00673C43">
        <w:rPr>
          <w:rFonts w:ascii="Arial" w:hAnsi="Arial" w:cs="Arial"/>
          <w:lang w:val="es-ES"/>
        </w:rPr>
        <w:t>y propició ante la creciente agresividad germana la firma en 1907 del</w:t>
      </w:r>
      <w:r w:rsidRPr="00673C43">
        <w:rPr>
          <w:rStyle w:val="apple-converted-space"/>
          <w:rFonts w:ascii="Arial" w:hAnsi="Arial" w:cs="Arial"/>
          <w:lang w:val="es-ES"/>
        </w:rPr>
        <w:t> </w:t>
      </w:r>
      <w:hyperlink r:id="rId8" w:tgtFrame="_blank" w:history="1">
        <w:r w:rsidRPr="00673C43">
          <w:rPr>
            <w:rStyle w:val="Hipervnculo"/>
            <w:rFonts w:ascii="Arial" w:hAnsi="Arial" w:cs="Arial"/>
            <w:bCs/>
            <w:color w:val="auto"/>
            <w:u w:val="none"/>
            <w:lang w:val="es-ES"/>
          </w:rPr>
          <w:t>Acuerdo anglo-ruso</w:t>
        </w:r>
      </w:hyperlink>
      <w:r w:rsidRPr="00673C43">
        <w:rPr>
          <w:rFonts w:ascii="Arial" w:hAnsi="Arial" w:cs="Arial"/>
          <w:lang w:val="es-ES"/>
        </w:rPr>
        <w:t>. Nacía así la</w:t>
      </w:r>
      <w:r w:rsidRPr="00673C43">
        <w:rPr>
          <w:rStyle w:val="apple-converted-space"/>
          <w:rFonts w:ascii="Arial" w:hAnsi="Arial" w:cs="Arial"/>
          <w:lang w:val="es-ES"/>
        </w:rPr>
        <w:t> </w:t>
      </w:r>
      <w:hyperlink r:id="rId9" w:tgtFrame="_blank" w:history="1">
        <w:r w:rsidRPr="00673C43">
          <w:rPr>
            <w:rStyle w:val="Hipervnculo"/>
            <w:rFonts w:ascii="Arial" w:hAnsi="Arial" w:cs="Arial"/>
            <w:bCs/>
            <w:color w:val="auto"/>
            <w:u w:val="none"/>
            <w:lang w:val="es-ES"/>
          </w:rPr>
          <w:t>Triple Entente</w:t>
        </w:r>
      </w:hyperlink>
      <w:r w:rsidRPr="00673C43">
        <w:rPr>
          <w:rStyle w:val="apple-converted-space"/>
          <w:rFonts w:ascii="Arial" w:hAnsi="Arial" w:cs="Arial"/>
          <w:lang w:val="es-ES"/>
        </w:rPr>
        <w:t> </w:t>
      </w:r>
      <w:r w:rsidRPr="00673C43">
        <w:rPr>
          <w:rFonts w:ascii="Arial" w:hAnsi="Arial" w:cs="Arial"/>
          <w:lang w:val="es-ES"/>
        </w:rPr>
        <w:t>uno de los bandos que se iban a enfrentar en la primera guerra mundial.</w:t>
      </w:r>
    </w:p>
    <w:p w:rsidR="00673C43" w:rsidRPr="00673C43" w:rsidRDefault="00673C43" w:rsidP="00673C43">
      <w:pPr>
        <w:pStyle w:val="NormalWeb"/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 xml:space="preserve">Las </w:t>
      </w:r>
      <w:proofErr w:type="gramStart"/>
      <w:r w:rsidRPr="00673C43">
        <w:rPr>
          <w:rFonts w:ascii="Arial" w:hAnsi="Arial" w:cs="Arial"/>
          <w:lang w:val="es-ES"/>
        </w:rPr>
        <w:t>otros</w:t>
      </w:r>
      <w:proofErr w:type="gramEnd"/>
      <w:r w:rsidRPr="00673C43">
        <w:rPr>
          <w:rFonts w:ascii="Arial" w:hAnsi="Arial" w:cs="Arial"/>
          <w:lang w:val="es-ES"/>
        </w:rPr>
        <w:t xml:space="preserve"> dos crisis tuvieron lugar en los Balcanes. Tras la anexión austriaca de Bosnia-Herzegovina (1908), la región se vio sacudida por las guerras balcánicas (1912-1913). Dos guerras sucesivas en las que se vieron involucrados todos los estados balcánicos. La primera enfrentó a todos con Turquía, la segunda enfrentó a los vencedores, Serbia, Grecia y Montenegro, contra Bulgaria. Las guerras concluyeron con el Tratado de Bucarest (1913) que supuso un vuelco en la situación en la zona:</w:t>
      </w:r>
    </w:p>
    <w:p w:rsidR="00673C43" w:rsidRPr="00673C43" w:rsidRDefault="00673C43" w:rsidP="00673C43">
      <w:pPr>
        <w:pStyle w:val="NormalWeb"/>
        <w:numPr>
          <w:ilvl w:val="0"/>
          <w:numId w:val="1"/>
        </w:numPr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>Turquía quedó reducida en los Balcanes a la región en torno a Estambul.</w:t>
      </w:r>
    </w:p>
    <w:p w:rsidR="00673C43" w:rsidRPr="00673C43" w:rsidRDefault="00673C43" w:rsidP="00673C43">
      <w:pPr>
        <w:pStyle w:val="NormalWeb"/>
        <w:numPr>
          <w:ilvl w:val="0"/>
          <w:numId w:val="1"/>
        </w:numPr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>Serbia, aliada de Rusia y defensora de los derechos de los eslavos en el imperio</w:t>
      </w:r>
      <w:r w:rsidRPr="00673C43">
        <w:rPr>
          <w:rStyle w:val="apple-converted-space"/>
          <w:rFonts w:ascii="Arial" w:hAnsi="Arial" w:cs="Arial"/>
          <w:lang w:val="es-ES"/>
        </w:rPr>
        <w:t> </w:t>
      </w:r>
      <w:r w:rsidRPr="00673C43">
        <w:rPr>
          <w:rFonts w:ascii="Arial" w:hAnsi="Arial" w:cs="Arial"/>
          <w:lang w:val="es-ES"/>
        </w:rPr>
        <w:t>austro-húngaro, se consolidó como el principal estado de la región.</w:t>
      </w:r>
    </w:p>
    <w:p w:rsidR="00673C43" w:rsidRPr="00673C43" w:rsidRDefault="00673C43" w:rsidP="00673C43">
      <w:pPr>
        <w:pStyle w:val="NormalWeb"/>
        <w:numPr>
          <w:ilvl w:val="0"/>
          <w:numId w:val="1"/>
        </w:numPr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>Austria-Hungría, alarmada por el fortalecimiento serbio, llegó a la conclusión de que solo una guerra preventiva impediría que Serbia, alentada por Rusia, encabezara un levantamiento general de los eslavos en el Imperio de los Habsburgo.</w:t>
      </w:r>
    </w:p>
    <w:p w:rsidR="00673C43" w:rsidRPr="00673C43" w:rsidRDefault="00673C43" w:rsidP="00673C43">
      <w:pPr>
        <w:pStyle w:val="NormalWeb"/>
        <w:numPr>
          <w:ilvl w:val="0"/>
          <w:numId w:val="1"/>
        </w:numPr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>Alemania estaba resuelta a apoyar a su aliado austro-húngaro en caso de conflicto.</w:t>
      </w:r>
    </w:p>
    <w:p w:rsidR="00673C43" w:rsidRPr="00673C43" w:rsidRDefault="00673C43" w:rsidP="00673C43">
      <w:pPr>
        <w:pStyle w:val="NormalWeb"/>
        <w:numPr>
          <w:ilvl w:val="0"/>
          <w:numId w:val="1"/>
        </w:numPr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>Rusia estaba decidida a intervenir en el caso de que Austria-Hungría atacase a Serbia. Francia, a su vez, era mucho más proclive a apoyar a Rusia en caso de guerra que en 1908.</w:t>
      </w:r>
    </w:p>
    <w:p w:rsidR="00673C43" w:rsidRPr="00673C43" w:rsidRDefault="00673C43" w:rsidP="00673C43">
      <w:pPr>
        <w:pStyle w:val="NormalWeb"/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>El ambiente bélico se extendía por las diversas capitales europeas.</w:t>
      </w:r>
    </w:p>
    <w:p w:rsidR="00673C43" w:rsidRPr="00673C43" w:rsidRDefault="00673C43" w:rsidP="00673C43">
      <w:pPr>
        <w:pStyle w:val="NormalWeb"/>
        <w:shd w:val="clear" w:color="auto" w:fill="FFFFFF"/>
        <w:rPr>
          <w:lang w:val="es-ES"/>
        </w:rPr>
      </w:pPr>
      <w:r w:rsidRPr="00673C43">
        <w:rPr>
          <w:rFonts w:ascii="Arial" w:hAnsi="Arial" w:cs="Arial"/>
          <w:bCs/>
          <w:lang w:val="es-ES"/>
        </w:rPr>
        <w:t>La crisis definitiva: el atentado de Sarajevo (verano de 1914)</w:t>
      </w:r>
    </w:p>
    <w:p w:rsidR="00673C43" w:rsidRPr="00673C43" w:rsidRDefault="00673C43" w:rsidP="00673C43">
      <w:pPr>
        <w:pStyle w:val="NormalWeb"/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 xml:space="preserve">El 28 de junio de 1914 el Archiduque Francisco Fernando, sobrino del Emperador Francisco José I y heredero al trono austro-húngaro, fue asesinado en Sarajevo (Bosnia). Un activista serbobosnio, </w:t>
      </w:r>
      <w:proofErr w:type="spellStart"/>
      <w:r w:rsidRPr="00673C43">
        <w:rPr>
          <w:rFonts w:ascii="Arial" w:hAnsi="Arial" w:cs="Arial"/>
          <w:lang w:val="es-ES"/>
        </w:rPr>
        <w:t>Gavrilo</w:t>
      </w:r>
      <w:proofErr w:type="spellEnd"/>
      <w:r w:rsidRPr="00673C43">
        <w:rPr>
          <w:rFonts w:ascii="Arial" w:hAnsi="Arial" w:cs="Arial"/>
          <w:lang w:val="es-ES"/>
        </w:rPr>
        <w:t xml:space="preserve"> </w:t>
      </w:r>
      <w:proofErr w:type="spellStart"/>
      <w:r w:rsidRPr="00673C43">
        <w:rPr>
          <w:rFonts w:ascii="Arial" w:hAnsi="Arial" w:cs="Arial"/>
          <w:lang w:val="es-ES"/>
        </w:rPr>
        <w:t>Princip</w:t>
      </w:r>
      <w:proofErr w:type="spellEnd"/>
      <w:r w:rsidRPr="00673C43">
        <w:rPr>
          <w:rFonts w:ascii="Arial" w:hAnsi="Arial" w:cs="Arial"/>
          <w:lang w:val="es-ES"/>
        </w:rPr>
        <w:t>, miembro de la organización nacionalista serbia "La Mano Negra", fue el autor del magnicidio.</w:t>
      </w:r>
    </w:p>
    <w:p w:rsidR="00673C43" w:rsidRPr="00673C43" w:rsidRDefault="00673C43" w:rsidP="00673C43">
      <w:pPr>
        <w:pStyle w:val="NormalWeb"/>
        <w:shd w:val="clear" w:color="auto" w:fill="FFFFFF"/>
        <w:jc w:val="center"/>
      </w:pPr>
      <w:r w:rsidRPr="00673C43">
        <w:rPr>
          <w:noProof/>
        </w:rPr>
        <w:lastRenderedPageBreak/>
        <w:drawing>
          <wp:inline distT="0" distB="0" distL="0" distR="0" wp14:anchorId="28AE49D8" wp14:editId="4153BA63">
            <wp:extent cx="2861310" cy="2933700"/>
            <wp:effectExtent l="0" t="0" r="0" b="0"/>
            <wp:docPr id="1" name="Imagen 1" descr="http://www.historiasiglo20.org/HM/images/1-1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oriasiglo20.org/HM/images/1-1c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43" w:rsidRPr="00673C43" w:rsidRDefault="00673C43" w:rsidP="00673C43">
      <w:pPr>
        <w:pStyle w:val="NormalWeb"/>
        <w:shd w:val="clear" w:color="auto" w:fill="FFFFFF"/>
        <w:rPr>
          <w:lang w:val="es-ES"/>
        </w:rPr>
      </w:pPr>
      <w:r w:rsidRPr="00673C43">
        <w:rPr>
          <w:rFonts w:ascii="Arial" w:hAnsi="Arial" w:cs="Arial"/>
          <w:lang w:val="es-ES"/>
        </w:rPr>
        <w:t>Este atentado desencadenó una fatal serie de acontecimientos que desembocó en la guerra. He aquí resumida la sucesión de hechos que llevó a la guerra:</w:t>
      </w:r>
      <w:r w:rsidRPr="00673C43">
        <w:rPr>
          <w:rFonts w:ascii="Arial" w:hAnsi="Arial" w:cs="Arial"/>
          <w:lang w:val="es-ES"/>
        </w:rPr>
        <w:br/>
        <w:t> </w:t>
      </w:r>
    </w:p>
    <w:p w:rsidR="0021799D" w:rsidRPr="00673C43" w:rsidRDefault="0021799D" w:rsidP="00673C43">
      <w:pPr>
        <w:rPr>
          <w:sz w:val="24"/>
          <w:szCs w:val="24"/>
        </w:rPr>
      </w:pPr>
    </w:p>
    <w:p w:rsidR="00673C43" w:rsidRPr="00673C43" w:rsidRDefault="00673C43">
      <w:pPr>
        <w:rPr>
          <w:sz w:val="24"/>
          <w:szCs w:val="24"/>
        </w:rPr>
      </w:pPr>
    </w:p>
    <w:sectPr w:rsidR="00673C43" w:rsidRPr="00673C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0333"/>
    <w:multiLevelType w:val="multilevel"/>
    <w:tmpl w:val="B94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3"/>
    <w:rsid w:val="0021799D"/>
    <w:rsid w:val="00673C43"/>
    <w:rsid w:val="00706E93"/>
    <w:rsid w:val="007E029F"/>
    <w:rsid w:val="00AF60CE"/>
    <w:rsid w:val="00CC4CF0"/>
    <w:rsid w:val="00E43162"/>
    <w:rsid w:val="00F0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918BA5-F9B5-44F4-867D-4B47E0A5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C4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673C43"/>
  </w:style>
  <w:style w:type="character" w:styleId="Hipervnculo">
    <w:name w:val="Hyperlink"/>
    <w:basedOn w:val="Fuentedeprrafopredeter"/>
    <w:uiPriority w:val="99"/>
    <w:semiHidden/>
    <w:unhideWhenUsed/>
    <w:rsid w:val="0067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siglo20.org/GLOS/anglorus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iasiglo20.org/GLOS/ententecordial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historiasiglo20.org/ISXX/caminoguerra.ht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historiasiglo20.org/GLOS/tripleenten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2017-02-24T20:24:00Z</dcterms:created>
  <dcterms:modified xsi:type="dcterms:W3CDTF">2017-02-24T20:26:00Z</dcterms:modified>
</cp:coreProperties>
</file>